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943" w:rsidRPr="00991943" w:rsidRDefault="00991943" w:rsidP="00991943">
      <w:pPr>
        <w:rPr>
          <w:rFonts w:ascii="Times New Roman" w:eastAsia="Times New Roman" w:hAnsi="Times New Roman" w:cs="Times New Roman"/>
        </w:rPr>
      </w:pPr>
      <w:r w:rsidRPr="00991943">
        <w:rPr>
          <w:rFonts w:ascii="Times New Roman" w:eastAsia="Times New Roman" w:hAnsi="Times New Roman" w:cs="Times New Roman"/>
          <w:noProof/>
          <w:color w:val="007ACC"/>
        </w:rPr>
        <w:drawing>
          <wp:inline distT="0" distB="0" distL="0" distR="0">
            <wp:extent cx="1181100" cy="1102360"/>
            <wp:effectExtent l="0" t="0" r="0" b="2540"/>
            <wp:docPr id="1" name="Picture 1" descr="https://deverillsarchaeology.files.wordpress.com/2018/11/arrowhead_logo_final-e1582584005708.jpg?w=375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verillsarchaeology.files.wordpress.com/2018/11/arrowhead_logo_final-e1582584005708.jpg?w=375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849" cy="1106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943" w:rsidRPr="00991943" w:rsidRDefault="00991943" w:rsidP="00991943">
      <w:pPr>
        <w:spacing w:after="252"/>
        <w:outlineLvl w:val="0"/>
        <w:rPr>
          <w:rFonts w:ascii="Helvetica Neue" w:eastAsia="Times New Roman" w:hAnsi="Helvetica Neue" w:cs="Arial"/>
          <w:b/>
          <w:bCs/>
          <w:color w:val="1A1A1A"/>
          <w:kern w:val="36"/>
          <w:sz w:val="48"/>
          <w:szCs w:val="48"/>
        </w:rPr>
      </w:pPr>
      <w:r w:rsidRPr="00991943">
        <w:rPr>
          <w:rFonts w:ascii="Helvetica Neue" w:eastAsia="Times New Roman" w:hAnsi="Helvetica Neue" w:cs="Arial"/>
          <w:b/>
          <w:bCs/>
          <w:color w:val="1A1A1A"/>
          <w:kern w:val="36"/>
          <w:sz w:val="48"/>
          <w:szCs w:val="48"/>
        </w:rPr>
        <w:t>Resources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i/>
          <w:iCs/>
          <w:color w:val="1A1A1A"/>
        </w:rPr>
        <w:t>Further reading on the archaeology of SW Wiltshire: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>Cunnington, M. 1938. Artefacts from excavations on Cold Kitchen Hill.    Wiltshire Archaeology and Natural History Museum.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 xml:space="preserve">Draper, S.A. 2004. </w:t>
      </w:r>
      <w:proofErr w:type="gramStart"/>
      <w:r w:rsidRPr="00991943">
        <w:rPr>
          <w:rFonts w:ascii="Arial" w:eastAsia="Times New Roman" w:hAnsi="Arial" w:cs="Arial"/>
          <w:color w:val="1A1A1A"/>
        </w:rPr>
        <w:t>Landscape ,</w:t>
      </w:r>
      <w:proofErr w:type="gramEnd"/>
      <w:r w:rsidRPr="00991943">
        <w:rPr>
          <w:rFonts w:ascii="Arial" w:eastAsia="Times New Roman" w:hAnsi="Arial" w:cs="Arial"/>
          <w:color w:val="1A1A1A"/>
        </w:rPr>
        <w:t xml:space="preserve"> settlement and society : Wiltshire in the 1st millennium AD., 236.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>Eagles, B. 2001. Anglo-Saxon Culture and Presence in Wiltshire c. AD 450- c. 675, in P. Ellis (ed.) </w:t>
      </w:r>
      <w:r w:rsidRPr="00991943">
        <w:rPr>
          <w:rFonts w:ascii="Arial" w:eastAsia="Times New Roman" w:hAnsi="Arial" w:cs="Arial"/>
          <w:i/>
          <w:iCs/>
          <w:color w:val="1A1A1A"/>
        </w:rPr>
        <w:t xml:space="preserve">Roman Wiltshire and After. Papers in </w:t>
      </w:r>
      <w:proofErr w:type="spellStart"/>
      <w:r w:rsidRPr="00991943">
        <w:rPr>
          <w:rFonts w:ascii="Arial" w:eastAsia="Times New Roman" w:hAnsi="Arial" w:cs="Arial"/>
          <w:i/>
          <w:iCs/>
          <w:color w:val="1A1A1A"/>
        </w:rPr>
        <w:t>Honor</w:t>
      </w:r>
      <w:proofErr w:type="spellEnd"/>
      <w:r w:rsidRPr="00991943">
        <w:rPr>
          <w:rFonts w:ascii="Arial" w:eastAsia="Times New Roman" w:hAnsi="Arial" w:cs="Arial"/>
          <w:i/>
          <w:iCs/>
          <w:color w:val="1A1A1A"/>
        </w:rPr>
        <w:t xml:space="preserve"> of Ken </w:t>
      </w:r>
      <w:proofErr w:type="spellStart"/>
      <w:r w:rsidRPr="00991943">
        <w:rPr>
          <w:rFonts w:ascii="Arial" w:eastAsia="Times New Roman" w:hAnsi="Arial" w:cs="Arial"/>
          <w:i/>
          <w:iCs/>
          <w:color w:val="1A1A1A"/>
        </w:rPr>
        <w:t>Annable</w:t>
      </w:r>
      <w:proofErr w:type="spellEnd"/>
      <w:r w:rsidRPr="00991943">
        <w:rPr>
          <w:rFonts w:ascii="Arial" w:eastAsia="Times New Roman" w:hAnsi="Arial" w:cs="Arial"/>
          <w:color w:val="1A1A1A"/>
        </w:rPr>
        <w:t>: 199–233. Devizes: Wiltshire Archaeological and Natural History Society.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>Ellis, P. (ed.) 2001 </w:t>
      </w:r>
      <w:r w:rsidRPr="00991943">
        <w:rPr>
          <w:rFonts w:ascii="Arial" w:eastAsia="Times New Roman" w:hAnsi="Arial" w:cs="Arial"/>
          <w:i/>
          <w:iCs/>
          <w:color w:val="1A1A1A"/>
        </w:rPr>
        <w:t xml:space="preserve">Roman Wiltshire and After. Papers in </w:t>
      </w:r>
      <w:proofErr w:type="spellStart"/>
      <w:r w:rsidRPr="00991943">
        <w:rPr>
          <w:rFonts w:ascii="Arial" w:eastAsia="Times New Roman" w:hAnsi="Arial" w:cs="Arial"/>
          <w:i/>
          <w:iCs/>
          <w:color w:val="1A1A1A"/>
        </w:rPr>
        <w:t>Honor</w:t>
      </w:r>
      <w:proofErr w:type="spellEnd"/>
      <w:r w:rsidRPr="00991943">
        <w:rPr>
          <w:rFonts w:ascii="Arial" w:eastAsia="Times New Roman" w:hAnsi="Arial" w:cs="Arial"/>
          <w:i/>
          <w:iCs/>
          <w:color w:val="1A1A1A"/>
        </w:rPr>
        <w:t xml:space="preserve"> of Ken </w:t>
      </w:r>
      <w:proofErr w:type="spellStart"/>
      <w:r w:rsidRPr="00991943">
        <w:rPr>
          <w:rFonts w:ascii="Arial" w:eastAsia="Times New Roman" w:hAnsi="Arial" w:cs="Arial"/>
          <w:i/>
          <w:iCs/>
          <w:color w:val="1A1A1A"/>
        </w:rPr>
        <w:t>Annable</w:t>
      </w:r>
      <w:proofErr w:type="spellEnd"/>
      <w:r w:rsidRPr="00991943">
        <w:rPr>
          <w:rFonts w:ascii="Arial" w:eastAsia="Times New Roman" w:hAnsi="Arial" w:cs="Arial"/>
          <w:color w:val="1A1A1A"/>
        </w:rPr>
        <w:t>: 199–233. Devizes: Wiltshire Archaeological and Natural History Society.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 xml:space="preserve">Field, D. and </w:t>
      </w:r>
      <w:proofErr w:type="spellStart"/>
      <w:r w:rsidRPr="00991943">
        <w:rPr>
          <w:rFonts w:ascii="Arial" w:eastAsia="Times New Roman" w:hAnsi="Arial" w:cs="Arial"/>
          <w:color w:val="1A1A1A"/>
        </w:rPr>
        <w:t>McOmish</w:t>
      </w:r>
      <w:proofErr w:type="spellEnd"/>
      <w:r w:rsidRPr="00991943">
        <w:rPr>
          <w:rFonts w:ascii="Arial" w:eastAsia="Times New Roman" w:hAnsi="Arial" w:cs="Arial"/>
          <w:color w:val="1A1A1A"/>
        </w:rPr>
        <w:t>, D. 2017 </w:t>
      </w:r>
      <w:r w:rsidRPr="00991943">
        <w:rPr>
          <w:rFonts w:ascii="Arial" w:eastAsia="Times New Roman" w:hAnsi="Arial" w:cs="Arial"/>
          <w:i/>
          <w:iCs/>
          <w:color w:val="1A1A1A"/>
        </w:rPr>
        <w:t>The making of prehistoric Wiltshire. </w:t>
      </w:r>
      <w:r w:rsidRPr="00991943">
        <w:rPr>
          <w:rFonts w:ascii="Arial" w:eastAsia="Times New Roman" w:hAnsi="Arial" w:cs="Arial"/>
          <w:color w:val="1A1A1A"/>
        </w:rPr>
        <w:t>Amberley Publishing, Stroud, Gloucestershire.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>Hawkes, C., L. Brown. &amp; S.C. Hawkes. 2012. </w:t>
      </w:r>
      <w:r w:rsidRPr="00991943">
        <w:rPr>
          <w:rFonts w:ascii="Arial" w:eastAsia="Times New Roman" w:hAnsi="Arial" w:cs="Arial"/>
          <w:i/>
          <w:iCs/>
          <w:color w:val="1A1A1A"/>
        </w:rPr>
        <w:t xml:space="preserve">Longbridge </w:t>
      </w:r>
      <w:proofErr w:type="spellStart"/>
      <w:r w:rsidRPr="00991943">
        <w:rPr>
          <w:rFonts w:ascii="Arial" w:eastAsia="Times New Roman" w:hAnsi="Arial" w:cs="Arial"/>
          <w:i/>
          <w:iCs/>
          <w:color w:val="1A1A1A"/>
        </w:rPr>
        <w:t>Deverill</w:t>
      </w:r>
      <w:proofErr w:type="spellEnd"/>
      <w:r w:rsidRPr="00991943">
        <w:rPr>
          <w:rFonts w:ascii="Arial" w:eastAsia="Times New Roman" w:hAnsi="Arial" w:cs="Arial"/>
          <w:i/>
          <w:iCs/>
          <w:color w:val="1A1A1A"/>
        </w:rPr>
        <w:t xml:space="preserve"> Cow Down: An Early Iron Age Settlement in West Wiltshire</w:t>
      </w:r>
      <w:r w:rsidRPr="00991943">
        <w:rPr>
          <w:rFonts w:ascii="Arial" w:eastAsia="Times New Roman" w:hAnsi="Arial" w:cs="Arial"/>
          <w:color w:val="1A1A1A"/>
        </w:rPr>
        <w:t>. Oxford: Oxbow.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>Hoare, R.C. 1812. </w:t>
      </w:r>
      <w:r w:rsidRPr="00991943">
        <w:rPr>
          <w:rFonts w:ascii="Arial" w:eastAsia="Times New Roman" w:hAnsi="Arial" w:cs="Arial"/>
          <w:i/>
          <w:iCs/>
          <w:color w:val="1A1A1A"/>
        </w:rPr>
        <w:t>The Ancient History of South Wiltshire</w:t>
      </w:r>
      <w:r w:rsidRPr="00991943">
        <w:rPr>
          <w:rFonts w:ascii="Arial" w:eastAsia="Times New Roman" w:hAnsi="Arial" w:cs="Arial"/>
          <w:color w:val="1A1A1A"/>
        </w:rPr>
        <w:t xml:space="preserve">. 1975 </w:t>
      </w:r>
      <w:proofErr w:type="spellStart"/>
      <w:r w:rsidRPr="00991943">
        <w:rPr>
          <w:rFonts w:ascii="Arial" w:eastAsia="Times New Roman" w:hAnsi="Arial" w:cs="Arial"/>
          <w:color w:val="1A1A1A"/>
        </w:rPr>
        <w:t>repub.</w:t>
      </w:r>
      <w:proofErr w:type="spellEnd"/>
      <w:r w:rsidRPr="00991943">
        <w:rPr>
          <w:rFonts w:ascii="Arial" w:eastAsia="Times New Roman" w:hAnsi="Arial" w:cs="Arial"/>
          <w:color w:val="1A1A1A"/>
        </w:rPr>
        <w:t xml:space="preserve"> Wakefield: EP Publishing.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>Pearson, M.P., J. Pollard., C. Richards., J. Thomas., C. Tilley. &amp; K. Welham. 2008. The Stonehenge Riverside Project: exploring the Neolithic landscape of Stonehenge </w:t>
      </w:r>
      <w:proofErr w:type="spellStart"/>
      <w:r w:rsidRPr="00991943">
        <w:rPr>
          <w:rFonts w:ascii="Arial" w:eastAsia="Times New Roman" w:hAnsi="Arial" w:cs="Arial"/>
          <w:i/>
          <w:iCs/>
          <w:color w:val="1A1A1A"/>
        </w:rPr>
        <w:t>Documenta</w:t>
      </w:r>
      <w:proofErr w:type="spellEnd"/>
      <w:r w:rsidRPr="00991943">
        <w:rPr>
          <w:rFonts w:ascii="Arial" w:eastAsia="Times New Roman" w:hAnsi="Arial" w:cs="Arial"/>
          <w:i/>
          <w:iCs/>
          <w:color w:val="1A1A1A"/>
        </w:rPr>
        <w:t xml:space="preserve"> </w:t>
      </w:r>
      <w:proofErr w:type="spellStart"/>
      <w:r w:rsidRPr="00991943">
        <w:rPr>
          <w:rFonts w:ascii="Arial" w:eastAsia="Times New Roman" w:hAnsi="Arial" w:cs="Arial"/>
          <w:i/>
          <w:iCs/>
          <w:color w:val="1A1A1A"/>
        </w:rPr>
        <w:t>Praehistorica</w:t>
      </w:r>
      <w:proofErr w:type="spellEnd"/>
      <w:r w:rsidRPr="00991943">
        <w:rPr>
          <w:rFonts w:ascii="Arial" w:eastAsia="Times New Roman" w:hAnsi="Arial" w:cs="Arial"/>
          <w:i/>
          <w:iCs/>
          <w:color w:val="1A1A1A"/>
        </w:rPr>
        <w:t xml:space="preserve"> XXXV</w:t>
      </w:r>
      <w:r w:rsidRPr="00991943">
        <w:rPr>
          <w:rFonts w:ascii="Arial" w:eastAsia="Times New Roman" w:hAnsi="Arial" w:cs="Arial"/>
          <w:color w:val="1A1A1A"/>
        </w:rPr>
        <w:t> 7: 153–66.</w:t>
      </w:r>
    </w:p>
    <w:p w:rsidR="00991943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>Valdez-</w:t>
      </w:r>
      <w:proofErr w:type="spellStart"/>
      <w:r w:rsidRPr="00991943">
        <w:rPr>
          <w:rFonts w:ascii="Arial" w:eastAsia="Times New Roman" w:hAnsi="Arial" w:cs="Arial"/>
          <w:color w:val="1A1A1A"/>
        </w:rPr>
        <w:t>Tullett</w:t>
      </w:r>
      <w:proofErr w:type="spellEnd"/>
      <w:r w:rsidRPr="00991943">
        <w:rPr>
          <w:rFonts w:ascii="Arial" w:eastAsia="Times New Roman" w:hAnsi="Arial" w:cs="Arial"/>
          <w:color w:val="1A1A1A"/>
        </w:rPr>
        <w:t>, A. and Roberts, D. 2017 </w:t>
      </w:r>
      <w:r w:rsidRPr="00991943">
        <w:rPr>
          <w:rFonts w:ascii="Arial" w:eastAsia="Times New Roman" w:hAnsi="Arial" w:cs="Arial"/>
          <w:i/>
          <w:iCs/>
          <w:color w:val="1A1A1A"/>
        </w:rPr>
        <w:t>Archaeological Investigation of a Square Enclosure on King Barrow Ridge. </w:t>
      </w:r>
      <w:r w:rsidRPr="00991943">
        <w:rPr>
          <w:rFonts w:ascii="Arial" w:eastAsia="Times New Roman" w:hAnsi="Arial" w:cs="Arial"/>
          <w:color w:val="1A1A1A"/>
        </w:rPr>
        <w:t>Historic England Research Report Series 58-2017. Portsmouth: Historic England. Available </w:t>
      </w:r>
      <w:hyperlink r:id="rId7" w:history="1">
        <w:r w:rsidRPr="00991943">
          <w:rPr>
            <w:rFonts w:ascii="Arial" w:eastAsia="Times New Roman" w:hAnsi="Arial" w:cs="Arial"/>
            <w:color w:val="007ACC"/>
            <w:u w:val="single"/>
          </w:rPr>
          <w:t>here.</w:t>
        </w:r>
      </w:hyperlink>
    </w:p>
    <w:p w:rsidR="00A50A8C" w:rsidRPr="00991943" w:rsidRDefault="00991943" w:rsidP="00991943">
      <w:pPr>
        <w:spacing w:after="420"/>
        <w:rPr>
          <w:rFonts w:ascii="Arial" w:eastAsia="Times New Roman" w:hAnsi="Arial" w:cs="Arial"/>
          <w:color w:val="1A1A1A"/>
        </w:rPr>
      </w:pPr>
      <w:r w:rsidRPr="00991943">
        <w:rPr>
          <w:rFonts w:ascii="Arial" w:eastAsia="Times New Roman" w:hAnsi="Arial" w:cs="Arial"/>
          <w:color w:val="1A1A1A"/>
        </w:rPr>
        <w:t xml:space="preserve">David </w:t>
      </w:r>
      <w:proofErr w:type="spellStart"/>
      <w:r w:rsidRPr="00991943">
        <w:rPr>
          <w:rFonts w:ascii="Arial" w:eastAsia="Times New Roman" w:hAnsi="Arial" w:cs="Arial"/>
          <w:color w:val="1A1A1A"/>
        </w:rPr>
        <w:t>McOmish</w:t>
      </w:r>
      <w:proofErr w:type="spellEnd"/>
      <w:r w:rsidRPr="00991943">
        <w:rPr>
          <w:rFonts w:ascii="Arial" w:eastAsia="Times New Roman" w:hAnsi="Arial" w:cs="Arial"/>
          <w:color w:val="1A1A1A"/>
        </w:rPr>
        <w:t>, David Field and Graham Brown. 2002. The Field Archaeology of the Salisbury Plain Training Area. Swindon: English Heritage.</w:t>
      </w:r>
      <w:bookmarkStart w:id="0" w:name="_GoBack"/>
      <w:bookmarkEnd w:id="0"/>
    </w:p>
    <w:sectPr w:rsidR="00A50A8C" w:rsidRPr="00991943" w:rsidSect="00FC1BB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13136"/>
    <w:multiLevelType w:val="multilevel"/>
    <w:tmpl w:val="5FBAF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775370"/>
    <w:multiLevelType w:val="multilevel"/>
    <w:tmpl w:val="4BDE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943"/>
    <w:rsid w:val="00991943"/>
    <w:rsid w:val="00A50A8C"/>
    <w:rsid w:val="00FC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7A6C15"/>
  <w15:chartTrackingRefBased/>
  <w15:docId w15:val="{E9B560CC-73A4-B74D-95BC-5CFA16BFF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9194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99194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9194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94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99194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9194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991943"/>
    <w:rPr>
      <w:color w:val="0000FF"/>
      <w:u w:val="single"/>
    </w:rPr>
  </w:style>
  <w:style w:type="paragraph" w:customStyle="1" w:styleId="site-title">
    <w:name w:val="site-title"/>
    <w:basedOn w:val="Normal"/>
    <w:rsid w:val="009919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menu-item">
    <w:name w:val="menu-item"/>
    <w:basedOn w:val="Normal"/>
    <w:rsid w:val="009919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9919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991943"/>
    <w:rPr>
      <w:i/>
      <w:iCs/>
    </w:rPr>
  </w:style>
  <w:style w:type="character" w:customStyle="1" w:styleId="apple-converted-space">
    <w:name w:val="apple-converted-space"/>
    <w:basedOn w:val="DefaultParagraphFont"/>
    <w:rsid w:val="00991943"/>
  </w:style>
  <w:style w:type="paragraph" w:customStyle="1" w:styleId="share-press-this">
    <w:name w:val="share-press-this"/>
    <w:basedOn w:val="Normal"/>
    <w:rsid w:val="009919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haring-screen-reader-text">
    <w:name w:val="sharing-screen-reader-text"/>
    <w:basedOn w:val="DefaultParagraphFont"/>
    <w:rsid w:val="00991943"/>
  </w:style>
  <w:style w:type="paragraph" w:customStyle="1" w:styleId="share-twitter">
    <w:name w:val="share-twitter"/>
    <w:basedOn w:val="Normal"/>
    <w:rsid w:val="009919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hare-facebook">
    <w:name w:val="share-facebook"/>
    <w:basedOn w:val="Normal"/>
    <w:rsid w:val="009919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hare-print">
    <w:name w:val="share-print"/>
    <w:basedOn w:val="Normal"/>
    <w:rsid w:val="009919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hare-end">
    <w:name w:val="share-end"/>
    <w:basedOn w:val="Normal"/>
    <w:rsid w:val="009919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hare-customize-link">
    <w:name w:val="share-customize-link"/>
    <w:basedOn w:val="Normal"/>
    <w:rsid w:val="009919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dit-link">
    <w:name w:val="edit-link"/>
    <w:basedOn w:val="DefaultParagraphFont"/>
    <w:rsid w:val="00991943"/>
  </w:style>
  <w:style w:type="character" w:customStyle="1" w:styleId="screen-reader-text">
    <w:name w:val="screen-reader-text"/>
    <w:basedOn w:val="DefaultParagraphFont"/>
    <w:rsid w:val="0099194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9194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91943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9194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91943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2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50958">
              <w:marLeft w:val="0"/>
              <w:marRight w:val="0"/>
              <w:marTop w:val="42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91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7400">
              <w:marLeft w:val="0"/>
              <w:marRight w:val="-18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4993">
                  <w:marLeft w:val="0"/>
                  <w:marRight w:val="0"/>
                  <w:marTop w:val="0"/>
                  <w:marBottom w:val="0"/>
                  <w:divBdr>
                    <w:top w:val="none" w:sz="0" w:space="0" w:color="D1D1D1"/>
                    <w:left w:val="none" w:sz="0" w:space="0" w:color="D1D1D1"/>
                    <w:bottom w:val="none" w:sz="0" w:space="0" w:color="D1D1D1"/>
                    <w:right w:val="none" w:sz="0" w:space="0" w:color="D1D1D1"/>
                  </w:divBdr>
                  <w:divsChild>
                    <w:div w:id="149645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7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0120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20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377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esearch.historicengland.org.uk/Report.aspx?i=15651&amp;ru=%2fResults.aspx%3fp%3d1%26n%3d10%26rn%3d58%26ry%3d2017%26ns%3d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deverillsarchaeology.wordpress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2020-11-16T15:31:00Z</dcterms:created>
  <dcterms:modified xsi:type="dcterms:W3CDTF">2020-11-16T15:32:00Z</dcterms:modified>
</cp:coreProperties>
</file>